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47F5C1" w14:textId="77777777" w:rsidR="00130DD4" w:rsidRDefault="00280179">
      <w:r>
        <w:t>This worksheet is intended to serve as a guide for reading a scholarly article. Completing</w:t>
      </w:r>
      <w:bookmarkStart w:id="0" w:name="_GoBack"/>
      <w:bookmarkEnd w:id="0"/>
      <w:r>
        <w:t xml:space="preserve"> this sheet as you read an article will help you understand the point the author is making and how he or she has gone about doing so. It also provides an opportunity to evaluate the clarity and effectiveness of the article.</w:t>
      </w:r>
    </w:p>
    <w:p w14:paraId="28ABAB9B" w14:textId="77777777" w:rsidR="00280179" w:rsidRDefault="00280179" w:rsidP="00280179">
      <w:pPr>
        <w:numPr>
          <w:ilvl w:val="0"/>
          <w:numId w:val="1"/>
        </w:numPr>
        <w:spacing w:before="240"/>
      </w:pPr>
      <w:r>
        <w:t xml:space="preserve">Identify </w:t>
      </w:r>
      <w:r>
        <w:rPr>
          <w:b/>
        </w:rPr>
        <w:t>what kind of article</w:t>
      </w:r>
      <w:r>
        <w:t xml:space="preserve"> it is.</w:t>
      </w:r>
      <w:r w:rsidR="003D2F33">
        <w:t xml:space="preserve"> Check all that apply and be ready to explain why.</w:t>
      </w:r>
    </w:p>
    <w:p w14:paraId="5CE31F84" w14:textId="77777777" w:rsidR="00280179" w:rsidRDefault="00280179" w:rsidP="00280179">
      <w:pPr>
        <w:numPr>
          <w:ilvl w:val="1"/>
          <w:numId w:val="1"/>
        </w:numPr>
        <w:tabs>
          <w:tab w:val="clear" w:pos="1440"/>
        </w:tabs>
        <w:spacing w:before="240"/>
        <w:ind w:left="1980" w:hanging="900"/>
      </w:pPr>
      <w:r>
        <w:t>____ New Research. Does it present research on an important topic that has not yet been studied</w:t>
      </w:r>
      <w:r w:rsidR="00836737">
        <w:t xml:space="preserve"> to any real extent</w:t>
      </w:r>
      <w:r>
        <w:t>?</w:t>
      </w:r>
      <w:r w:rsidR="00836737">
        <w:t xml:space="preserve"> Articles of this type may present new research or the analysis and translation of a significant primary source.</w:t>
      </w:r>
    </w:p>
    <w:p w14:paraId="103CEC5D" w14:textId="77777777" w:rsidR="00280179" w:rsidRDefault="00280179" w:rsidP="00280179">
      <w:pPr>
        <w:numPr>
          <w:ilvl w:val="1"/>
          <w:numId w:val="1"/>
        </w:numPr>
        <w:tabs>
          <w:tab w:val="clear" w:pos="1440"/>
        </w:tabs>
        <w:spacing w:before="240"/>
        <w:ind w:left="1980" w:hanging="900"/>
      </w:pPr>
      <w:r>
        <w:t xml:space="preserve">____ Old View/New View. Is the author presenting new research and/or analysis to show how previous analysis of the question </w:t>
      </w:r>
      <w:r w:rsidR="00836737">
        <w:t xml:space="preserve">under consideration </w:t>
      </w:r>
      <w:r>
        <w:t>is inaccurate or incorrect?</w:t>
      </w:r>
    </w:p>
    <w:p w14:paraId="0C44645C" w14:textId="77777777" w:rsidR="00280179" w:rsidRDefault="00280179" w:rsidP="00280179">
      <w:pPr>
        <w:numPr>
          <w:ilvl w:val="1"/>
          <w:numId w:val="1"/>
        </w:numPr>
        <w:tabs>
          <w:tab w:val="clear" w:pos="1440"/>
        </w:tabs>
        <w:spacing w:before="240"/>
        <w:ind w:left="1980" w:hanging="900"/>
      </w:pPr>
      <w:r>
        <w:t xml:space="preserve">____ Review Article. Is the author presenting summaries of past research on a topic (usually one that has a long history of study) by a variety of different scholars, in order to show the state of </w:t>
      </w:r>
      <w:r w:rsidR="00836737">
        <w:t>research on the topic?</w:t>
      </w:r>
    </w:p>
    <w:p w14:paraId="36CAD638" w14:textId="7FAB475A" w:rsidR="00836737" w:rsidRDefault="00836737" w:rsidP="00280179">
      <w:pPr>
        <w:numPr>
          <w:ilvl w:val="1"/>
          <w:numId w:val="1"/>
        </w:numPr>
        <w:tabs>
          <w:tab w:val="clear" w:pos="1440"/>
        </w:tabs>
        <w:spacing w:before="240"/>
        <w:ind w:left="1980" w:hanging="900"/>
      </w:pPr>
      <w:r>
        <w:t>_</w:t>
      </w:r>
      <w:r w:rsidR="0031149D">
        <w:rPr>
          <w:color w:val="FF0000"/>
        </w:rPr>
        <w:t>X</w:t>
      </w:r>
      <w:r>
        <w:t xml:space="preserve">_ Standard Textbook or Encyclopedia Entry. Does the author seem to be presenting information in a way that suggests it is generally </w:t>
      </w:r>
      <w:r w:rsidR="001E4409">
        <w:t>accepted in the field as correct?</w:t>
      </w:r>
      <w:r>
        <w:t xml:space="preserve"> Articles of this type usually lack references to other published work and are relatively general and brief.</w:t>
      </w:r>
    </w:p>
    <w:p w14:paraId="1E88F00C" w14:textId="77777777" w:rsidR="003D2F33" w:rsidRDefault="003D2F33" w:rsidP="001E4409">
      <w:pPr>
        <w:numPr>
          <w:ilvl w:val="0"/>
          <w:numId w:val="1"/>
        </w:numPr>
        <w:spacing w:before="240"/>
      </w:pPr>
      <w:r>
        <w:t xml:space="preserve">Identify </w:t>
      </w:r>
      <w:r>
        <w:rPr>
          <w:b/>
        </w:rPr>
        <w:t>unknown vocabulary and technical terms</w:t>
      </w:r>
      <w:r>
        <w:t>.</w:t>
      </w:r>
      <w:r>
        <w:br/>
        <w:t>Read through the article, and at the arrow below, list all the unknown words and phrases you encounter. Look up the words you find and add the definition next to each. If you can’t find the meaning of a word (often the case with foreign words), offer a tentative definition for it based on context clues or any other means you can. Bring these to class for discussion.</w:t>
      </w:r>
    </w:p>
    <w:p w14:paraId="066DBDB3" w14:textId="5AF8704C" w:rsidR="003D2F33" w:rsidRPr="0031149D" w:rsidRDefault="0031149D" w:rsidP="0031149D">
      <w:pPr>
        <w:pStyle w:val="ListParagraph"/>
        <w:numPr>
          <w:ilvl w:val="0"/>
          <w:numId w:val="2"/>
        </w:numPr>
        <w:spacing w:before="120"/>
      </w:pPr>
      <w:r>
        <w:rPr>
          <w:color w:val="FF0000"/>
        </w:rPr>
        <w:t xml:space="preserve">Planetary – relating to the Earth as a planet </w:t>
      </w:r>
    </w:p>
    <w:p w14:paraId="07F9043B" w14:textId="1687FAB2" w:rsidR="0031149D" w:rsidRPr="0031149D" w:rsidRDefault="0031149D" w:rsidP="0031149D">
      <w:pPr>
        <w:pStyle w:val="ListParagraph"/>
        <w:numPr>
          <w:ilvl w:val="0"/>
          <w:numId w:val="2"/>
        </w:numPr>
        <w:spacing w:before="120"/>
      </w:pPr>
      <w:r>
        <w:rPr>
          <w:color w:val="FF0000"/>
        </w:rPr>
        <w:t xml:space="preserve">Renaissance – </w:t>
      </w:r>
      <w:r w:rsidRPr="0031149D">
        <w:rPr>
          <w:color w:val="FF0000"/>
          <w:shd w:val="clear" w:color="auto" w:fill="FFFFFF"/>
        </w:rPr>
        <w:t>the revival of art and literature under the influence of classical models in the 14th–16th centuries</w:t>
      </w:r>
    </w:p>
    <w:p w14:paraId="79A92FBD" w14:textId="00D044CC" w:rsidR="0031149D" w:rsidRDefault="0031149D" w:rsidP="0031149D">
      <w:pPr>
        <w:pStyle w:val="ListParagraph"/>
        <w:numPr>
          <w:ilvl w:val="0"/>
          <w:numId w:val="2"/>
        </w:numPr>
        <w:spacing w:before="120"/>
      </w:pPr>
      <w:r>
        <w:rPr>
          <w:color w:val="FF0000"/>
          <w:shd w:val="clear" w:color="auto" w:fill="FFFFFF"/>
        </w:rPr>
        <w:t xml:space="preserve">Iconoclast – </w:t>
      </w:r>
      <w:r w:rsidRPr="0031149D">
        <w:rPr>
          <w:color w:val="FF0000"/>
          <w:shd w:val="clear" w:color="auto" w:fill="FFFFFF"/>
        </w:rPr>
        <w:t>a person who attacks cherished beliefs or institutions</w:t>
      </w:r>
    </w:p>
    <w:p w14:paraId="3B133E7D" w14:textId="77777777" w:rsidR="00D303F4" w:rsidRDefault="00620AD0" w:rsidP="001E4409">
      <w:pPr>
        <w:numPr>
          <w:ilvl w:val="0"/>
          <w:numId w:val="1"/>
        </w:numPr>
        <w:spacing w:before="240"/>
      </w:pPr>
      <w:r>
        <w:t xml:space="preserve">Identify </w:t>
      </w:r>
      <w:r>
        <w:rPr>
          <w:b/>
        </w:rPr>
        <w:t>the author’s point</w:t>
      </w:r>
      <w:r>
        <w:t>.</w:t>
      </w:r>
      <w:r w:rsidR="001E4409">
        <w:br/>
        <w:t xml:space="preserve">Study the introduction and conclusion of the article </w:t>
      </w:r>
      <w:r w:rsidR="003D2F33">
        <w:t>and</w:t>
      </w:r>
      <w:r w:rsidR="001E4409">
        <w:t xml:space="preserve"> determine what the author’s point is. Authors should state this clearly, but sometimes they make their readers work for it.</w:t>
      </w:r>
    </w:p>
    <w:p w14:paraId="6C511FAB" w14:textId="77777777" w:rsidR="00D303F4" w:rsidRDefault="001E4409" w:rsidP="003D2F33">
      <w:pPr>
        <w:numPr>
          <w:ilvl w:val="1"/>
          <w:numId w:val="1"/>
        </w:numPr>
        <w:spacing w:before="120"/>
      </w:pPr>
      <w:r>
        <w:t>If it is New Research (a. above), make note of how the author states the question or questions she or he examined and what his answer to the question is.</w:t>
      </w:r>
    </w:p>
    <w:p w14:paraId="7F38D04A" w14:textId="77777777" w:rsidR="00D303F4" w:rsidRDefault="001E4409" w:rsidP="003D2F33">
      <w:pPr>
        <w:numPr>
          <w:ilvl w:val="1"/>
          <w:numId w:val="1"/>
        </w:numPr>
        <w:spacing w:before="120"/>
      </w:pPr>
      <w:r>
        <w:t xml:space="preserve">If it is an Old View/New View </w:t>
      </w:r>
      <w:r w:rsidR="00A47575">
        <w:t>article</w:t>
      </w:r>
      <w:r>
        <w:t xml:space="preserve"> (b. above), identify the other scholars the author is responding to, what the old view is, and what the new view is that he or she is offering.</w:t>
      </w:r>
    </w:p>
    <w:p w14:paraId="419B99C0" w14:textId="77777777" w:rsidR="00D303F4" w:rsidRDefault="001E4409" w:rsidP="003D2F33">
      <w:pPr>
        <w:numPr>
          <w:ilvl w:val="1"/>
          <w:numId w:val="1"/>
        </w:numPr>
        <w:spacing w:before="120"/>
      </w:pPr>
      <w:r>
        <w:t>If it is a review article, identify the purpose for the author gives for presenting the review, and note if he proposes directions for further research.</w:t>
      </w:r>
    </w:p>
    <w:p w14:paraId="09661FC3" w14:textId="77777777" w:rsidR="00D303F4" w:rsidRDefault="001E4409" w:rsidP="003D2F33">
      <w:pPr>
        <w:numPr>
          <w:ilvl w:val="1"/>
          <w:numId w:val="1"/>
        </w:numPr>
        <w:spacing w:before="120"/>
      </w:pPr>
      <w:r>
        <w:lastRenderedPageBreak/>
        <w:t>If it is a Standard Entry (d. above), you need only summarize the material presented, unless a clear point can be determined.</w:t>
      </w:r>
    </w:p>
    <w:p w14:paraId="2DDD3A7B" w14:textId="77777777" w:rsidR="003D2F33" w:rsidRDefault="001E4409" w:rsidP="002206BA">
      <w:pPr>
        <w:spacing w:before="120"/>
        <w:ind w:left="720"/>
      </w:pPr>
      <w:r>
        <w:t xml:space="preserve">State the author’s point and other information requested above </w:t>
      </w:r>
      <w:r w:rsidR="00D303F4">
        <w:t xml:space="preserve">after the arrow </w:t>
      </w:r>
      <w:r>
        <w:t>below.</w:t>
      </w:r>
      <w:r w:rsidR="00D303F4">
        <w:t xml:space="preserve"> Be as detailed as you need to be.</w:t>
      </w:r>
    </w:p>
    <w:p w14:paraId="1B1954D5" w14:textId="752B8E5B" w:rsidR="001E4409" w:rsidRDefault="007747F2" w:rsidP="0031149D">
      <w:pPr>
        <w:pStyle w:val="ListParagraph"/>
        <w:numPr>
          <w:ilvl w:val="0"/>
          <w:numId w:val="2"/>
        </w:numPr>
        <w:spacing w:before="120"/>
      </w:pPr>
      <w:r>
        <w:rPr>
          <w:color w:val="FF0000"/>
        </w:rPr>
        <w:t xml:space="preserve">The point of this article is Standard Entry. The information in the article is presented as if it is generally accepted in the field. The document starts by talking about the revival of Greek science. Two of the most visible faces of this revival were John the Grammarian and Leo the Mathematician. John was born sometime during the last quarter of the eight century. Tutor of the future emperor Theophilus, John became Patriarch John VII under his reign, but he was dethroned in 843 by iconodule regents, specifically the widow of Theophilus, Theodora, and Theoktistos, an influential eunuch. Although the Byzantines seem to have abandoned the Greek tradition of making scientific instruments, they inherited the technology of automatons, developed by Heron of Alexandria (first century BCE), including the technique of gears, developed in a magnificent way by the first century BCE in devices such as the famous planetary called the “Antikythera mechanism.” After John the Grammarian’s death, the iconodule patriarchs who succeeded him accused John of magic and had his remains disinterred and burned. At the end of the iconoclast era, interest in the sciences was resuscitating. Leo was born around the turn of the ninth century. Son of an aristocratic family, he found that in the iconoclastic context the teaching of sciences in Constantinople left something to be desired; he could find a teacher for the </w:t>
      </w:r>
      <w:r>
        <w:rPr>
          <w:i/>
          <w:color w:val="FF0000"/>
        </w:rPr>
        <w:t>trivium</w:t>
      </w:r>
      <w:r>
        <w:rPr>
          <w:color w:val="FF0000"/>
        </w:rPr>
        <w:t xml:space="preserve"> but not for science (the </w:t>
      </w:r>
      <w:r>
        <w:rPr>
          <w:i/>
          <w:color w:val="FF0000"/>
        </w:rPr>
        <w:t>quadrivium</w:t>
      </w:r>
      <w:r>
        <w:rPr>
          <w:color w:val="FF0000"/>
        </w:rPr>
        <w:t xml:space="preserve">). The story handed down about the life of Leo claims that he followed a path of study that was characteristic of the Western Middle Ages: first find a teacher to acquire the basic knowledge and then dig into the monastic archives for manuscripts that were either hidden or forgotten. The rest of Leo’s story is mixed with legend. Returning to Constantinople, he gave courses in philosophy, specifically the </w:t>
      </w:r>
      <w:r>
        <w:rPr>
          <w:i/>
          <w:color w:val="FF0000"/>
        </w:rPr>
        <w:t>quadrivium</w:t>
      </w:r>
      <w:r>
        <w:rPr>
          <w:color w:val="FF0000"/>
        </w:rPr>
        <w:t xml:space="preserve">. During the reign of Theophilus, Leo conceived the famous optical telegraph to transmit signals from the eastern frontiers of the empire to the capital. The novelty of this system was that it was based on two synchronized clocks, one on the frontier and the other in the capital. The involvement of Leo with the iconoclast emperor and patriarch did not have a negative impact on his career as a scholar. </w:t>
      </w:r>
      <w:r w:rsidR="00CB5F96">
        <w:rPr>
          <w:color w:val="FF0000"/>
        </w:rPr>
        <w:t xml:space="preserve">The public education given at the Church of Forty Martyrs undoubtedly inspired the new school. During the reign of Constantine Porphyrogenitus, state power took an additional step toward the institutionalization of nonreligious education when a school administrator was appointed for each town. It seems that Byzantine power, both political and religious, was ready to accept the cultural change brought about by humanism. A statement written by Constantine the Sicilian, a former student of Leo’s, sheds additional light on attitudes toward his master. Historians of science have often stressed the role of ninth-century Byzantium in safeguarding Greek scientific literature. As part of their revival of interest in the sciences, Byzantines copied ancient manuscripts, even when there were no specialists to exploit them fully. The contribution of Leo the Mathematician and his entourage (especially his students) to safeguarding science manuscripts was crucial in the ninth century. </w:t>
      </w:r>
      <w:r w:rsidR="0064273E">
        <w:rPr>
          <w:color w:val="FF0000"/>
        </w:rPr>
        <w:t xml:space="preserve">I have stressed the prime role played by the Byzantine emperors in relations between science and Orthodoxy. When an emperor was favorably disposed to secular knowledge, then teaching was encouraged and subsidized by the state, which gave science an important status that the clergy and society could not ignore. Michael Psellos is the Byzantine scholar best known in western Europe. His name at birth was Constantine. Son of a civil servant, he studied in Constantinople and Athens and followed a political career. But </w:t>
      </w:r>
      <w:r w:rsidR="0064273E">
        <w:rPr>
          <w:color w:val="FF0000"/>
        </w:rPr>
        <w:lastRenderedPageBreak/>
        <w:t xml:space="preserve">in 1054 Psellos left the university in disgrace (for unknown reasons) and became a monk under the name Michael. Psellos’s involvement in politics and his aspiration to the highest posts conferred on him an authority in science that went beyond that of a simple savant. Psellos illustrates the complicated and ambiguous relations of the Orthodox world of his day with the sciences. Such pride at knowing the literature of non-Christian civilizations, as well as Psellos’s practice of sciences condemned by the church (astrology and magic), gave his many enemies ample opportunity to attack him. If Psellos’s acts of faith appear to be merely the maneuvers of a politician, there is in fact a text in which he seems to give an explanation from the bottom of his heart for his intellectual contradictions. With respect to nonapocryphal sciences, Psellos’s contributions were to mathematics, astronomy, and the philosophy of nature. Psellos comes across as an independent spirit who dared on several occasions to flout the commandments of the Orthodox Church in the interests of his curiosity, which ran from the traditional secular sciences to any sort of apocryphal science. Psellos may not have had major difficulties with the church, but the same was not true for his student and successor in the post of </w:t>
      </w:r>
      <w:r w:rsidR="0064273E">
        <w:rPr>
          <w:i/>
          <w:color w:val="FF0000"/>
        </w:rPr>
        <w:t>hypatos</w:t>
      </w:r>
      <w:r w:rsidR="0064273E">
        <w:rPr>
          <w:color w:val="FF0000"/>
        </w:rPr>
        <w:t xml:space="preserve"> of the philosophers, John Italos. The condemnation of John Italos provided an opportunity for the Orthodox Church to condemn secular study more generally. The reforms by Alexius I did not signify the abandonment of secular science, which very probably continued to be taught at the same level as before, but henceforth theology would crown these studies. Simeon Seth, a contemporary of Psellos’s, was an astrologer and doctor who at one time probably withdrew to a monastery in Bithynia, a common practice for Byzantine dignitaries who had fallen into disgrace. Seth invoked God only in discussing the plurality of worlds, where he mentioned that certain philosophers believed in the existence of multiple worlds, each with its own human beings and animals. He repudiated the notion, held by certain Greeks, that the heavenly spheres had souls; for him, all celestial movements were purely natural. Astrology flourished during the Komnenos dynasty.</w:t>
      </w:r>
      <w:r w:rsidR="009505FE">
        <w:rPr>
          <w:color w:val="FF0000"/>
        </w:rPr>
        <w:t xml:space="preserve"> It is notable that arguments advanced by enemies of astrology remained the same as those of the church fathers. Despite the varying attitudes of emperors, the sciences in the twelfth century were well anchored in both higher education and the mentalities of Byzantine savants. Building on a long-standing tradition of charitable enterprises, they began in the fourth century to develop hospitals not only to provide food and shelter for the sick but also to treat their illnesses. The institutionalization of scientific study, the privileges given to professors, and the involvement of the emperor and the patriarchate all gave status to science, which became part of the Byzantine culture of the eleventh and twelfth centuries. These universities, unlike Constantinople’s high schools, had a certain autonomy, at least in the appointment of professors. Thus, the status and the protection provided to science by the heads of the empire carried the seeds of stagnation. Although scientific teaching progressed, there were no vigorous discussions of scientific matters, and Byzantine contributions to science remained marginal. </w:t>
      </w:r>
    </w:p>
    <w:p w14:paraId="35D8222E" w14:textId="77777777" w:rsidR="003D2F33" w:rsidRDefault="00D303F4" w:rsidP="0061620E">
      <w:pPr>
        <w:keepLines/>
        <w:numPr>
          <w:ilvl w:val="0"/>
          <w:numId w:val="1"/>
        </w:numPr>
        <w:spacing w:before="240"/>
      </w:pPr>
      <w:r>
        <w:lastRenderedPageBreak/>
        <w:t xml:space="preserve">Determine the </w:t>
      </w:r>
      <w:r>
        <w:rPr>
          <w:b/>
        </w:rPr>
        <w:t xml:space="preserve">organization of the </w:t>
      </w:r>
      <w:r w:rsidR="00A47575">
        <w:rPr>
          <w:b/>
        </w:rPr>
        <w:t>article</w:t>
      </w:r>
      <w:r>
        <w:t>.</w:t>
      </w:r>
      <w:r>
        <w:br/>
        <w:t>First, if the article has subheadings, identify each subheading</w:t>
      </w:r>
      <w:r w:rsidR="0061620E">
        <w:t xml:space="preserve"> with its page number</w:t>
      </w:r>
      <w:r>
        <w:t xml:space="preserve">. If there are no subheadings, work through the </w:t>
      </w:r>
      <w:r w:rsidR="00A47575">
        <w:t>article</w:t>
      </w:r>
      <w:r>
        <w:t xml:space="preserve"> paragraph by paragraph and divide the </w:t>
      </w:r>
      <w:r w:rsidR="00A47575">
        <w:t>article</w:t>
      </w:r>
      <w:r>
        <w:t xml:space="preserve"> into subsections that you assign subheadings to, based on what you see the author doing in each subsection. </w:t>
      </w:r>
      <w:r w:rsidR="0061620E">
        <w:t xml:space="preserve">Give the page number on which each of your subsections begins. </w:t>
      </w:r>
      <w:r>
        <w:t xml:space="preserve">Then, sketch out a rough outline of the </w:t>
      </w:r>
      <w:r w:rsidR="00A47575">
        <w:t xml:space="preserve">article </w:t>
      </w:r>
      <w:r>
        <w:t>using the subheadings you have, and briefly describe the sub-point the author is making under each subheading</w:t>
      </w:r>
      <w:r w:rsidR="0061620E">
        <w:t xml:space="preserve"> and </w:t>
      </w:r>
      <w:r w:rsidR="0061620E" w:rsidRPr="0061620E">
        <w:rPr>
          <w:b/>
        </w:rPr>
        <w:t>what evidence</w:t>
      </w:r>
      <w:r w:rsidR="0061620E">
        <w:t xml:space="preserve"> the author uses to make each point</w:t>
      </w:r>
      <w:r>
        <w:t xml:space="preserve">. Be sure to distinguish between what </w:t>
      </w:r>
      <w:r>
        <w:rPr>
          <w:b/>
        </w:rPr>
        <w:t>the author</w:t>
      </w:r>
      <w:r>
        <w:t xml:space="preserve"> is saying and what </w:t>
      </w:r>
      <w:r>
        <w:rPr>
          <w:b/>
        </w:rPr>
        <w:t>the other scholars</w:t>
      </w:r>
      <w:r>
        <w:t xml:space="preserve"> he is quoting are saying. Also note, if you can, why the author has chosen to organize the </w:t>
      </w:r>
      <w:r w:rsidR="00A47575">
        <w:t>article</w:t>
      </w:r>
      <w:r>
        <w:t xml:space="preserve"> the way he or she has.</w:t>
      </w:r>
      <w:r w:rsidR="0061620E">
        <w:t xml:space="preserve"> Provide the information requested above at the arrow below</w:t>
      </w:r>
      <w:r w:rsidR="00A92F00">
        <w:t>. Give as much detail as you need.</w:t>
      </w:r>
    </w:p>
    <w:p w14:paraId="3FA41E65" w14:textId="01DED6B2" w:rsidR="0061620E" w:rsidRPr="009505FE" w:rsidRDefault="009505FE" w:rsidP="009505FE">
      <w:pPr>
        <w:pStyle w:val="ListParagraph"/>
        <w:keepLines/>
        <w:numPr>
          <w:ilvl w:val="0"/>
          <w:numId w:val="2"/>
        </w:numPr>
        <w:spacing w:before="240"/>
      </w:pPr>
      <w:r>
        <w:rPr>
          <w:color w:val="FF0000"/>
        </w:rPr>
        <w:t>The Development of Science and Religion in Byzantium (page 242)</w:t>
      </w:r>
    </w:p>
    <w:p w14:paraId="0F60D745" w14:textId="77777777" w:rsidR="009505FE" w:rsidRPr="009505FE" w:rsidRDefault="009505FE" w:rsidP="009505FE">
      <w:pPr>
        <w:pStyle w:val="ListParagraph"/>
        <w:keepLines/>
        <w:numPr>
          <w:ilvl w:val="1"/>
          <w:numId w:val="2"/>
        </w:numPr>
        <w:spacing w:before="240"/>
      </w:pPr>
      <w:r>
        <w:rPr>
          <w:color w:val="FF0000"/>
        </w:rPr>
        <w:t>Two of the most visible faces of this revival were John the Grammarian and Leo the Mathematician</w:t>
      </w:r>
    </w:p>
    <w:p w14:paraId="06B0AFC3" w14:textId="77777777" w:rsidR="009505FE" w:rsidRPr="009505FE" w:rsidRDefault="009505FE" w:rsidP="009505FE">
      <w:pPr>
        <w:pStyle w:val="ListParagraph"/>
        <w:keepLines/>
        <w:numPr>
          <w:ilvl w:val="2"/>
          <w:numId w:val="2"/>
        </w:numPr>
        <w:spacing w:before="240"/>
      </w:pPr>
      <w:r>
        <w:rPr>
          <w:color w:val="FF0000"/>
        </w:rPr>
        <w:t>John was born sometime during the last quarter of the eighth century</w:t>
      </w:r>
    </w:p>
    <w:p w14:paraId="41B03A94" w14:textId="77777777" w:rsidR="009505FE" w:rsidRPr="009505FE" w:rsidRDefault="009505FE" w:rsidP="009505FE">
      <w:pPr>
        <w:pStyle w:val="ListParagraph"/>
        <w:keepLines/>
        <w:numPr>
          <w:ilvl w:val="2"/>
          <w:numId w:val="2"/>
        </w:numPr>
        <w:spacing w:before="240"/>
      </w:pPr>
      <w:r>
        <w:rPr>
          <w:color w:val="FF0000"/>
        </w:rPr>
        <w:t>Tutor of the future emperor Theophilus, John became Patriarch John VII under his reign, but he was dethroned in 843 by iconodule regents, specifically the widow of Theophilus, Theodora, and Theoktistos, an influential eunuch</w:t>
      </w:r>
    </w:p>
    <w:p w14:paraId="54889308" w14:textId="77777777" w:rsidR="009505FE" w:rsidRPr="009505FE" w:rsidRDefault="009505FE" w:rsidP="009505FE">
      <w:pPr>
        <w:pStyle w:val="ListParagraph"/>
        <w:keepLines/>
        <w:numPr>
          <w:ilvl w:val="1"/>
          <w:numId w:val="2"/>
        </w:numPr>
        <w:spacing w:before="240"/>
      </w:pPr>
      <w:r>
        <w:rPr>
          <w:color w:val="FF0000"/>
        </w:rPr>
        <w:t>Although the Byzantines seem to have abandoned the Greek tradition of making scientific instruments, they inherited the technology of automatons, developed by Heron of Alexandria (first century BCE), including the technique of gears, developed in a magnificent way by the first century BCE in devices such as the famous planetary called the “Antikythera mechanism.”</w:t>
      </w:r>
    </w:p>
    <w:p w14:paraId="3C4656D0" w14:textId="77777777" w:rsidR="009505FE" w:rsidRPr="009505FE" w:rsidRDefault="009505FE" w:rsidP="009505FE">
      <w:pPr>
        <w:pStyle w:val="ListParagraph"/>
        <w:keepLines/>
        <w:numPr>
          <w:ilvl w:val="1"/>
          <w:numId w:val="2"/>
        </w:numPr>
        <w:spacing w:before="240"/>
      </w:pPr>
      <w:r>
        <w:rPr>
          <w:color w:val="FF0000"/>
        </w:rPr>
        <w:t>After John the Grammarian’s death, the iconodule patriarchs who succeeded him accused John of magic and had his remains disinterred and burned</w:t>
      </w:r>
    </w:p>
    <w:p w14:paraId="1CEB6AA0" w14:textId="77777777" w:rsidR="009505FE" w:rsidRPr="009505FE" w:rsidRDefault="009505FE" w:rsidP="009505FE">
      <w:pPr>
        <w:pStyle w:val="ListParagraph"/>
        <w:keepLines/>
        <w:numPr>
          <w:ilvl w:val="1"/>
          <w:numId w:val="2"/>
        </w:numPr>
        <w:spacing w:before="240"/>
      </w:pPr>
      <w:r>
        <w:rPr>
          <w:color w:val="FF0000"/>
        </w:rPr>
        <w:t>At the end of the iconoclast era, interest in the sciences was resuscitating. Leo was born around the turn of the ninth century</w:t>
      </w:r>
    </w:p>
    <w:p w14:paraId="28004DDA" w14:textId="77777777" w:rsidR="009505FE" w:rsidRPr="009505FE" w:rsidRDefault="009505FE" w:rsidP="009505FE">
      <w:pPr>
        <w:pStyle w:val="ListParagraph"/>
        <w:keepLines/>
        <w:numPr>
          <w:ilvl w:val="1"/>
          <w:numId w:val="2"/>
        </w:numPr>
        <w:spacing w:before="240"/>
      </w:pPr>
      <w:r>
        <w:rPr>
          <w:color w:val="FF0000"/>
        </w:rPr>
        <w:t xml:space="preserve">Son of an aristocratic family, he found that in the iconoclastic context the teaching of sciences in Constantinople left something to be desired; he could find a teacher for the </w:t>
      </w:r>
      <w:r>
        <w:rPr>
          <w:i/>
          <w:color w:val="FF0000"/>
        </w:rPr>
        <w:t>trivium</w:t>
      </w:r>
      <w:r>
        <w:rPr>
          <w:color w:val="FF0000"/>
        </w:rPr>
        <w:t xml:space="preserve"> but not for science (the </w:t>
      </w:r>
      <w:r>
        <w:rPr>
          <w:i/>
          <w:color w:val="FF0000"/>
        </w:rPr>
        <w:t>quadrivium</w:t>
      </w:r>
      <w:r>
        <w:rPr>
          <w:color w:val="FF0000"/>
        </w:rPr>
        <w:t>)</w:t>
      </w:r>
    </w:p>
    <w:p w14:paraId="40B784A9" w14:textId="77777777" w:rsidR="009505FE" w:rsidRPr="009505FE" w:rsidRDefault="009505FE" w:rsidP="009505FE">
      <w:pPr>
        <w:pStyle w:val="ListParagraph"/>
        <w:keepLines/>
        <w:numPr>
          <w:ilvl w:val="1"/>
          <w:numId w:val="2"/>
        </w:numPr>
        <w:spacing w:before="240"/>
      </w:pPr>
      <w:r>
        <w:rPr>
          <w:color w:val="FF0000"/>
        </w:rPr>
        <w:t>The story handed down about the life of Leo claims that he followed a path of study that was characteristic of the Western Middle Ages: first find a teacher to acquire the basic knowledge and then dig into the monastic archives for manuscripts that were either hidden or forgotten</w:t>
      </w:r>
    </w:p>
    <w:p w14:paraId="76E631A9" w14:textId="77777777" w:rsidR="009505FE" w:rsidRPr="009505FE" w:rsidRDefault="009505FE" w:rsidP="009505FE">
      <w:pPr>
        <w:pStyle w:val="ListParagraph"/>
        <w:keepLines/>
        <w:numPr>
          <w:ilvl w:val="1"/>
          <w:numId w:val="2"/>
        </w:numPr>
        <w:spacing w:before="240"/>
      </w:pPr>
      <w:r>
        <w:rPr>
          <w:color w:val="FF0000"/>
        </w:rPr>
        <w:t xml:space="preserve">The rest of Leo’s story is mixed with legend. Returning to Constantinople, he gave courses in philosophy, specifically the </w:t>
      </w:r>
      <w:r>
        <w:rPr>
          <w:i/>
          <w:color w:val="FF0000"/>
        </w:rPr>
        <w:t>quadrivium</w:t>
      </w:r>
    </w:p>
    <w:p w14:paraId="46C8A65A" w14:textId="77777777" w:rsidR="009505FE" w:rsidRPr="009505FE" w:rsidRDefault="009505FE" w:rsidP="009505FE">
      <w:pPr>
        <w:pStyle w:val="ListParagraph"/>
        <w:keepLines/>
        <w:numPr>
          <w:ilvl w:val="1"/>
          <w:numId w:val="2"/>
        </w:numPr>
        <w:spacing w:before="240"/>
      </w:pPr>
      <w:r>
        <w:rPr>
          <w:color w:val="FF0000"/>
        </w:rPr>
        <w:t>During the reign of Theophilus, Leo conceived the famous optical telegraph to transmit signals from the eastern frontiers of the empire to the capital</w:t>
      </w:r>
    </w:p>
    <w:p w14:paraId="0BBB732F" w14:textId="77777777" w:rsidR="009505FE" w:rsidRPr="009505FE" w:rsidRDefault="009505FE" w:rsidP="009505FE">
      <w:pPr>
        <w:pStyle w:val="ListParagraph"/>
        <w:keepLines/>
        <w:numPr>
          <w:ilvl w:val="1"/>
          <w:numId w:val="2"/>
        </w:numPr>
        <w:spacing w:before="240"/>
      </w:pPr>
      <w:r>
        <w:rPr>
          <w:color w:val="FF0000"/>
        </w:rPr>
        <w:t>The novelty of this system was that it was based on two synchronized clocks, one on the frontier and the other in the capital</w:t>
      </w:r>
    </w:p>
    <w:p w14:paraId="6C1E67EC" w14:textId="77777777" w:rsidR="009505FE" w:rsidRPr="009505FE" w:rsidRDefault="009505FE" w:rsidP="009505FE">
      <w:pPr>
        <w:pStyle w:val="ListParagraph"/>
        <w:keepLines/>
        <w:numPr>
          <w:ilvl w:val="1"/>
          <w:numId w:val="2"/>
        </w:numPr>
        <w:spacing w:before="240"/>
      </w:pPr>
      <w:r>
        <w:rPr>
          <w:color w:val="FF0000"/>
        </w:rPr>
        <w:t>The involvement of Leo with the iconoclast emperor and patriarch did not have a negative impact on his career as a scholar</w:t>
      </w:r>
    </w:p>
    <w:p w14:paraId="3569EE4D" w14:textId="77777777" w:rsidR="009505FE" w:rsidRPr="009505FE" w:rsidRDefault="009505FE" w:rsidP="009505FE">
      <w:pPr>
        <w:pStyle w:val="ListParagraph"/>
        <w:keepLines/>
        <w:numPr>
          <w:ilvl w:val="1"/>
          <w:numId w:val="2"/>
        </w:numPr>
        <w:spacing w:before="240"/>
      </w:pPr>
      <w:r>
        <w:rPr>
          <w:color w:val="FF0000"/>
        </w:rPr>
        <w:t>The public education given at the Church of Forty Martyrs undoubtedly inspired the new school</w:t>
      </w:r>
    </w:p>
    <w:p w14:paraId="0EC1A78F" w14:textId="77777777" w:rsidR="009505FE" w:rsidRPr="009505FE" w:rsidRDefault="009505FE" w:rsidP="009505FE">
      <w:pPr>
        <w:pStyle w:val="ListParagraph"/>
        <w:keepLines/>
        <w:numPr>
          <w:ilvl w:val="1"/>
          <w:numId w:val="2"/>
        </w:numPr>
        <w:spacing w:before="240"/>
      </w:pPr>
      <w:r>
        <w:rPr>
          <w:color w:val="FF0000"/>
        </w:rPr>
        <w:t>During the reign of Constantine Porphyrogenitus, state power took an additional step toward the institutionalization of nonreligious education when a school administrator was appointed for each town</w:t>
      </w:r>
    </w:p>
    <w:p w14:paraId="5FF79E8A" w14:textId="77777777" w:rsidR="009505FE" w:rsidRPr="009505FE" w:rsidRDefault="009505FE" w:rsidP="009505FE">
      <w:pPr>
        <w:pStyle w:val="ListParagraph"/>
        <w:keepLines/>
        <w:numPr>
          <w:ilvl w:val="1"/>
          <w:numId w:val="2"/>
        </w:numPr>
        <w:spacing w:before="240"/>
      </w:pPr>
      <w:r>
        <w:rPr>
          <w:color w:val="FF0000"/>
        </w:rPr>
        <w:t>It seems that Byzantine power, both political and religious, was ready to accept the cultural change brought about by humanism</w:t>
      </w:r>
    </w:p>
    <w:p w14:paraId="4FC7DD81" w14:textId="77777777" w:rsidR="009505FE" w:rsidRPr="009505FE" w:rsidRDefault="009505FE" w:rsidP="009505FE">
      <w:pPr>
        <w:pStyle w:val="ListParagraph"/>
        <w:keepLines/>
        <w:numPr>
          <w:ilvl w:val="1"/>
          <w:numId w:val="2"/>
        </w:numPr>
        <w:spacing w:before="240"/>
      </w:pPr>
      <w:r>
        <w:rPr>
          <w:color w:val="FF0000"/>
        </w:rPr>
        <w:t>A statement written by Constantine the Sicilian, a former student of Leo’s, sheds additional light on attitudes toward his master</w:t>
      </w:r>
    </w:p>
    <w:p w14:paraId="281832F8" w14:textId="77777777" w:rsidR="009505FE" w:rsidRPr="009505FE" w:rsidRDefault="009505FE" w:rsidP="009505FE">
      <w:pPr>
        <w:pStyle w:val="ListParagraph"/>
        <w:keepLines/>
        <w:numPr>
          <w:ilvl w:val="1"/>
          <w:numId w:val="2"/>
        </w:numPr>
        <w:spacing w:before="240"/>
      </w:pPr>
      <w:r>
        <w:rPr>
          <w:color w:val="FF0000"/>
        </w:rPr>
        <w:t>Historians of science have often stressed the role of ninth-century Byzantium in safeguarding Greek scientific literature</w:t>
      </w:r>
    </w:p>
    <w:p w14:paraId="50D185BF" w14:textId="77777777" w:rsidR="009505FE" w:rsidRPr="009505FE" w:rsidRDefault="009505FE" w:rsidP="009505FE">
      <w:pPr>
        <w:pStyle w:val="ListParagraph"/>
        <w:keepLines/>
        <w:numPr>
          <w:ilvl w:val="1"/>
          <w:numId w:val="2"/>
        </w:numPr>
        <w:spacing w:before="240"/>
      </w:pPr>
      <w:r>
        <w:rPr>
          <w:color w:val="FF0000"/>
        </w:rPr>
        <w:t>As part of their revival of interest in the sciences, Byzantines copied ancient manuscripts, even when there were no specialists to exploit them fully</w:t>
      </w:r>
    </w:p>
    <w:p w14:paraId="5CDF0C28" w14:textId="00F6F76D" w:rsidR="009505FE" w:rsidRPr="009505FE" w:rsidRDefault="009505FE" w:rsidP="009505FE">
      <w:pPr>
        <w:pStyle w:val="ListParagraph"/>
        <w:keepLines/>
        <w:numPr>
          <w:ilvl w:val="1"/>
          <w:numId w:val="2"/>
        </w:numPr>
        <w:spacing w:before="240"/>
      </w:pPr>
      <w:r>
        <w:rPr>
          <w:color w:val="FF0000"/>
        </w:rPr>
        <w:t>The contribution of Leo the Mathematician and his entourage (especially his students) to safeguarding science manuscripts was crucial in the ninth century</w:t>
      </w:r>
    </w:p>
    <w:p w14:paraId="1D7EC127" w14:textId="280627EC" w:rsidR="009505FE" w:rsidRPr="009505FE" w:rsidRDefault="009505FE" w:rsidP="009505FE">
      <w:pPr>
        <w:pStyle w:val="ListParagraph"/>
        <w:keepLines/>
        <w:numPr>
          <w:ilvl w:val="0"/>
          <w:numId w:val="2"/>
        </w:numPr>
        <w:spacing w:before="240"/>
      </w:pPr>
      <w:r>
        <w:rPr>
          <w:color w:val="FF0000"/>
        </w:rPr>
        <w:t>Hellenism and Orthodoxy: The Cases of Psellos and John the Italian</w:t>
      </w:r>
    </w:p>
    <w:p w14:paraId="78700614" w14:textId="77777777" w:rsidR="009505FE" w:rsidRPr="009505FE" w:rsidRDefault="009505FE" w:rsidP="009505FE">
      <w:pPr>
        <w:pStyle w:val="ListParagraph"/>
        <w:keepLines/>
        <w:numPr>
          <w:ilvl w:val="1"/>
          <w:numId w:val="2"/>
        </w:numPr>
        <w:spacing w:before="240"/>
      </w:pPr>
      <w:r>
        <w:rPr>
          <w:color w:val="FF0000"/>
        </w:rPr>
        <w:t>I have stressed the prime role played by the Byzantine emperors in relations between science and Orthodoxy</w:t>
      </w:r>
    </w:p>
    <w:p w14:paraId="49F75AF4" w14:textId="77777777" w:rsidR="009505FE" w:rsidRPr="009505FE" w:rsidRDefault="009505FE" w:rsidP="009505FE">
      <w:pPr>
        <w:pStyle w:val="ListParagraph"/>
        <w:keepLines/>
        <w:numPr>
          <w:ilvl w:val="1"/>
          <w:numId w:val="2"/>
        </w:numPr>
        <w:spacing w:before="240"/>
      </w:pPr>
      <w:r>
        <w:rPr>
          <w:color w:val="FF0000"/>
        </w:rPr>
        <w:t>When an emperor was favorably disposed to secular knowledge, then teaching was encouraged and subsidized by the state, which gave science an important status that the clergy and society could not ignore</w:t>
      </w:r>
    </w:p>
    <w:p w14:paraId="7697BE63" w14:textId="77777777" w:rsidR="009505FE" w:rsidRPr="009505FE" w:rsidRDefault="009505FE" w:rsidP="009505FE">
      <w:pPr>
        <w:pStyle w:val="ListParagraph"/>
        <w:keepLines/>
        <w:numPr>
          <w:ilvl w:val="1"/>
          <w:numId w:val="2"/>
        </w:numPr>
        <w:spacing w:before="240"/>
      </w:pPr>
      <w:r>
        <w:rPr>
          <w:color w:val="FF0000"/>
        </w:rPr>
        <w:t>Michael Psellos is the Byzantine scholar best known in western Europe. His name at birth was Constantine</w:t>
      </w:r>
    </w:p>
    <w:p w14:paraId="42B273C5" w14:textId="77777777" w:rsidR="009505FE" w:rsidRPr="009505FE" w:rsidRDefault="009505FE" w:rsidP="009505FE">
      <w:pPr>
        <w:pStyle w:val="ListParagraph"/>
        <w:keepLines/>
        <w:numPr>
          <w:ilvl w:val="2"/>
          <w:numId w:val="2"/>
        </w:numPr>
        <w:spacing w:before="240"/>
      </w:pPr>
      <w:r>
        <w:rPr>
          <w:color w:val="FF0000"/>
        </w:rPr>
        <w:t>Son of a civil servant, he studied in Constantinople and Athens and followed a political career</w:t>
      </w:r>
    </w:p>
    <w:p w14:paraId="00094971" w14:textId="77777777" w:rsidR="009505FE" w:rsidRPr="009505FE" w:rsidRDefault="009505FE" w:rsidP="009505FE">
      <w:pPr>
        <w:pStyle w:val="ListParagraph"/>
        <w:keepLines/>
        <w:numPr>
          <w:ilvl w:val="2"/>
          <w:numId w:val="2"/>
        </w:numPr>
        <w:spacing w:before="240"/>
      </w:pPr>
      <w:r>
        <w:rPr>
          <w:color w:val="FF0000"/>
        </w:rPr>
        <w:t>But in 1054 Psellos left the university in disgrace (for unknown reasons) and became a monk under the name Michael. Psellos’s involvement in politics and his aspiration to the highest posts conferred on him an authority in science that went beyond that of a simple savant</w:t>
      </w:r>
    </w:p>
    <w:p w14:paraId="217AF00B" w14:textId="77777777" w:rsidR="009505FE" w:rsidRPr="009505FE" w:rsidRDefault="009505FE" w:rsidP="009505FE">
      <w:pPr>
        <w:pStyle w:val="ListParagraph"/>
        <w:keepLines/>
        <w:numPr>
          <w:ilvl w:val="1"/>
          <w:numId w:val="2"/>
        </w:numPr>
        <w:spacing w:before="240"/>
      </w:pPr>
      <w:r>
        <w:rPr>
          <w:color w:val="FF0000"/>
        </w:rPr>
        <w:t>Psellos illustrates the complicated and ambiguous relations of the Orthodox world of his day with the sciences</w:t>
      </w:r>
    </w:p>
    <w:p w14:paraId="7D5DCDBA" w14:textId="77777777" w:rsidR="009505FE" w:rsidRPr="009505FE" w:rsidRDefault="009505FE" w:rsidP="009505FE">
      <w:pPr>
        <w:pStyle w:val="ListParagraph"/>
        <w:keepLines/>
        <w:numPr>
          <w:ilvl w:val="1"/>
          <w:numId w:val="2"/>
        </w:numPr>
        <w:spacing w:before="240"/>
      </w:pPr>
      <w:r>
        <w:rPr>
          <w:color w:val="FF0000"/>
        </w:rPr>
        <w:t>Such pride at knowing the literature of non-Christian civilizations, as well as Psellos’s practice of sciences condemned by the church (astrology and magic), gave his many enemies ample opportunity to attack him</w:t>
      </w:r>
    </w:p>
    <w:p w14:paraId="78665F12" w14:textId="77777777" w:rsidR="009505FE" w:rsidRPr="009505FE" w:rsidRDefault="009505FE" w:rsidP="009505FE">
      <w:pPr>
        <w:pStyle w:val="ListParagraph"/>
        <w:keepLines/>
        <w:numPr>
          <w:ilvl w:val="1"/>
          <w:numId w:val="2"/>
        </w:numPr>
        <w:spacing w:before="240"/>
      </w:pPr>
      <w:r>
        <w:rPr>
          <w:color w:val="FF0000"/>
        </w:rPr>
        <w:t>If Psellos’s acts of faith appear to be merely the maneuvers of a politician, there is in fact a text in which he seems to give an explanation from the bottom of his heart for his intellectual contradictions</w:t>
      </w:r>
    </w:p>
    <w:p w14:paraId="5033CADF" w14:textId="46720D40" w:rsidR="009505FE" w:rsidRPr="009505FE" w:rsidRDefault="009505FE" w:rsidP="009505FE">
      <w:pPr>
        <w:pStyle w:val="ListParagraph"/>
        <w:keepLines/>
        <w:numPr>
          <w:ilvl w:val="1"/>
          <w:numId w:val="2"/>
        </w:numPr>
        <w:spacing w:before="240"/>
      </w:pPr>
      <w:r>
        <w:rPr>
          <w:color w:val="FF0000"/>
        </w:rPr>
        <w:t>With respect to nonapocryphal sciences, Psellos’s contributions were to mathematics, astronomy, and the philosophy of nature</w:t>
      </w:r>
    </w:p>
    <w:p w14:paraId="49E2AEAD" w14:textId="77777777" w:rsidR="009505FE" w:rsidRPr="009505FE" w:rsidRDefault="009505FE" w:rsidP="009505FE">
      <w:pPr>
        <w:pStyle w:val="ListParagraph"/>
        <w:keepLines/>
        <w:numPr>
          <w:ilvl w:val="1"/>
          <w:numId w:val="2"/>
        </w:numPr>
        <w:spacing w:before="240"/>
      </w:pPr>
      <w:r>
        <w:rPr>
          <w:color w:val="FF0000"/>
        </w:rPr>
        <w:t>Psellos comes across as an independent spirit who dared on several occasions to flout the commandments of the Orthodox Church in the interests of his curiosity, which ran from the traditional secular sciences to any sort of apocryphal science</w:t>
      </w:r>
    </w:p>
    <w:p w14:paraId="72BFAA6E" w14:textId="77777777" w:rsidR="009505FE" w:rsidRPr="009505FE" w:rsidRDefault="009505FE" w:rsidP="009505FE">
      <w:pPr>
        <w:pStyle w:val="ListParagraph"/>
        <w:keepLines/>
        <w:numPr>
          <w:ilvl w:val="1"/>
          <w:numId w:val="2"/>
        </w:numPr>
        <w:spacing w:before="240"/>
      </w:pPr>
      <w:r>
        <w:rPr>
          <w:color w:val="FF0000"/>
        </w:rPr>
        <w:t xml:space="preserve">Psellos may not have had major difficulties with the church, but the same was not true for his student and successor in the post of </w:t>
      </w:r>
      <w:r>
        <w:rPr>
          <w:i/>
          <w:color w:val="FF0000"/>
        </w:rPr>
        <w:t>hypatos</w:t>
      </w:r>
      <w:r>
        <w:rPr>
          <w:color w:val="FF0000"/>
        </w:rPr>
        <w:t xml:space="preserve"> of the philosophers, John Italos</w:t>
      </w:r>
    </w:p>
    <w:p w14:paraId="0F364581" w14:textId="4A82A024" w:rsidR="009505FE" w:rsidRPr="00641AC5" w:rsidRDefault="009505FE" w:rsidP="009505FE">
      <w:pPr>
        <w:pStyle w:val="ListParagraph"/>
        <w:keepLines/>
        <w:numPr>
          <w:ilvl w:val="1"/>
          <w:numId w:val="2"/>
        </w:numPr>
        <w:spacing w:before="240"/>
      </w:pPr>
      <w:r>
        <w:rPr>
          <w:color w:val="FF0000"/>
        </w:rPr>
        <w:t>The condemnation of John Italos provided an opportunity for the Orthodox Church to condemn secular study more generally.</w:t>
      </w:r>
    </w:p>
    <w:p w14:paraId="104656AE" w14:textId="7577FD44" w:rsidR="00641AC5" w:rsidRDefault="00641AC5">
      <w:pPr>
        <w:rPr>
          <w:color w:val="FF0000"/>
        </w:rPr>
      </w:pPr>
      <w:r>
        <w:rPr>
          <w:color w:val="FF0000"/>
        </w:rPr>
        <w:br w:type="page"/>
      </w:r>
    </w:p>
    <w:p w14:paraId="173C126A" w14:textId="24952F78" w:rsidR="00641AC5" w:rsidRPr="00641AC5" w:rsidRDefault="00641AC5" w:rsidP="00641AC5">
      <w:pPr>
        <w:pStyle w:val="ListParagraph"/>
        <w:keepLines/>
        <w:numPr>
          <w:ilvl w:val="0"/>
          <w:numId w:val="2"/>
        </w:numPr>
        <w:spacing w:before="240"/>
      </w:pPr>
      <w:r>
        <w:rPr>
          <w:color w:val="FF0000"/>
        </w:rPr>
        <w:t>An Eleventh-Century Manual of Natural Philosophy: Seth’s Physics</w:t>
      </w:r>
    </w:p>
    <w:p w14:paraId="5E2B626E" w14:textId="77777777" w:rsidR="00641AC5" w:rsidRPr="00641AC5" w:rsidRDefault="00641AC5" w:rsidP="00641AC5">
      <w:pPr>
        <w:pStyle w:val="ListParagraph"/>
        <w:numPr>
          <w:ilvl w:val="1"/>
          <w:numId w:val="2"/>
        </w:numPr>
        <w:spacing w:before="120"/>
      </w:pPr>
      <w:r>
        <w:rPr>
          <w:color w:val="FF0000"/>
        </w:rPr>
        <w:t>The reforms by Alexius I did not signify the abandonment of secular science, which very probably continued to be taught at the same level as before, but henceforth theology would crown these studies</w:t>
      </w:r>
    </w:p>
    <w:p w14:paraId="0E2567B7" w14:textId="77777777" w:rsidR="00641AC5" w:rsidRPr="00641AC5" w:rsidRDefault="00641AC5" w:rsidP="00641AC5">
      <w:pPr>
        <w:pStyle w:val="ListParagraph"/>
        <w:numPr>
          <w:ilvl w:val="1"/>
          <w:numId w:val="2"/>
        </w:numPr>
        <w:spacing w:before="120"/>
      </w:pPr>
      <w:r>
        <w:rPr>
          <w:color w:val="FF0000"/>
        </w:rPr>
        <w:t>Simeon Seth, a contemporary of Psellos’s, was an astrologer and doctor who at one time probably withdrew to a monastery in Bithynia, a common practice for Byzantine dignitaries who had fallen into disgrace</w:t>
      </w:r>
    </w:p>
    <w:p w14:paraId="6A7FB926" w14:textId="77777777" w:rsidR="00641AC5" w:rsidRPr="00641AC5" w:rsidRDefault="00641AC5" w:rsidP="00641AC5">
      <w:pPr>
        <w:pStyle w:val="ListParagraph"/>
        <w:numPr>
          <w:ilvl w:val="2"/>
          <w:numId w:val="2"/>
        </w:numPr>
        <w:spacing w:before="120"/>
      </w:pPr>
      <w:r>
        <w:rPr>
          <w:color w:val="FF0000"/>
        </w:rPr>
        <w:t>Seth invoked God only in discussing the plurality of worlds, where he mentioned that certain philosophers believed in the existence of multiple worlds, each with its own human beings and animals</w:t>
      </w:r>
    </w:p>
    <w:p w14:paraId="04D0C40B" w14:textId="76A6F725" w:rsidR="00641AC5" w:rsidRPr="00641AC5" w:rsidRDefault="00641AC5" w:rsidP="00641AC5">
      <w:pPr>
        <w:pStyle w:val="ListParagraph"/>
        <w:numPr>
          <w:ilvl w:val="2"/>
          <w:numId w:val="2"/>
        </w:numPr>
        <w:spacing w:before="120"/>
      </w:pPr>
      <w:r>
        <w:rPr>
          <w:color w:val="FF0000"/>
        </w:rPr>
        <w:t>qHe repudiated the notion, held by certain Greeks, that the heavenly spheres had souls; for him, all celestial movements were purely natural</w:t>
      </w:r>
    </w:p>
    <w:p w14:paraId="7D2087CA" w14:textId="77777777" w:rsidR="00641AC5" w:rsidRPr="00641AC5" w:rsidRDefault="00641AC5" w:rsidP="00641AC5">
      <w:pPr>
        <w:pStyle w:val="ListParagraph"/>
        <w:numPr>
          <w:ilvl w:val="1"/>
          <w:numId w:val="2"/>
        </w:numPr>
        <w:spacing w:before="120"/>
      </w:pPr>
      <w:r>
        <w:rPr>
          <w:color w:val="FF0000"/>
        </w:rPr>
        <w:t>Astrology flourished during the Komnenos dynasty</w:t>
      </w:r>
    </w:p>
    <w:p w14:paraId="208703BC" w14:textId="77777777" w:rsidR="00641AC5" w:rsidRPr="00641AC5" w:rsidRDefault="00641AC5" w:rsidP="00641AC5">
      <w:pPr>
        <w:pStyle w:val="ListParagraph"/>
        <w:numPr>
          <w:ilvl w:val="2"/>
          <w:numId w:val="2"/>
        </w:numPr>
        <w:spacing w:before="120"/>
      </w:pPr>
      <w:r>
        <w:rPr>
          <w:color w:val="FF0000"/>
        </w:rPr>
        <w:t>It is notable that arguments advanced by enemies of astrology remained the same as those of the church fathers</w:t>
      </w:r>
    </w:p>
    <w:p w14:paraId="071AEEF5" w14:textId="77777777" w:rsidR="00641AC5" w:rsidRPr="00641AC5" w:rsidRDefault="00641AC5" w:rsidP="00641AC5">
      <w:pPr>
        <w:pStyle w:val="ListParagraph"/>
        <w:numPr>
          <w:ilvl w:val="1"/>
          <w:numId w:val="2"/>
        </w:numPr>
        <w:spacing w:before="120"/>
      </w:pPr>
      <w:r>
        <w:rPr>
          <w:color w:val="FF0000"/>
        </w:rPr>
        <w:t>Despite the varying attitudes of emperors, the sciences in the twelfth century were well anchored in both higher education and the mentalities of Byzantine savants</w:t>
      </w:r>
    </w:p>
    <w:p w14:paraId="6F6486FF" w14:textId="77777777" w:rsidR="00641AC5" w:rsidRPr="00641AC5" w:rsidRDefault="00641AC5" w:rsidP="00641AC5">
      <w:pPr>
        <w:pStyle w:val="ListParagraph"/>
        <w:numPr>
          <w:ilvl w:val="1"/>
          <w:numId w:val="2"/>
        </w:numPr>
        <w:spacing w:before="120"/>
      </w:pPr>
      <w:r>
        <w:rPr>
          <w:color w:val="FF0000"/>
        </w:rPr>
        <w:t>Building on a long-standing tradition of charitable enterprises, they began in the fourth century to develop hospitals not only to provide food and shelter for the sick but also to treat their illnesses</w:t>
      </w:r>
    </w:p>
    <w:p w14:paraId="76737A5A" w14:textId="77777777" w:rsidR="00641AC5" w:rsidRPr="00641AC5" w:rsidRDefault="00641AC5" w:rsidP="00641AC5">
      <w:pPr>
        <w:pStyle w:val="ListParagraph"/>
        <w:numPr>
          <w:ilvl w:val="1"/>
          <w:numId w:val="2"/>
        </w:numPr>
        <w:spacing w:before="120"/>
      </w:pPr>
      <w:r>
        <w:rPr>
          <w:color w:val="FF0000"/>
        </w:rPr>
        <w:t>The institutionalization of scientific study, the privileges given to professors, and the involvement of the emperor and the patriarchate all gave status to science, which became part of the Byzantine culture of the eleventh and twelfth centuries</w:t>
      </w:r>
    </w:p>
    <w:p w14:paraId="4D511BDA" w14:textId="77777777" w:rsidR="00641AC5" w:rsidRPr="00641AC5" w:rsidRDefault="00641AC5" w:rsidP="00641AC5">
      <w:pPr>
        <w:pStyle w:val="ListParagraph"/>
        <w:numPr>
          <w:ilvl w:val="1"/>
          <w:numId w:val="2"/>
        </w:numPr>
        <w:spacing w:before="120"/>
      </w:pPr>
      <w:r>
        <w:rPr>
          <w:color w:val="FF0000"/>
        </w:rPr>
        <w:t>These universities, unlike Constantinople’s high schools, had a certain autonomy, at least in the appointment of professors</w:t>
      </w:r>
    </w:p>
    <w:p w14:paraId="56B8EA6A" w14:textId="77777777" w:rsidR="00641AC5" w:rsidRPr="00641AC5" w:rsidRDefault="00641AC5" w:rsidP="00641AC5">
      <w:pPr>
        <w:pStyle w:val="ListParagraph"/>
        <w:numPr>
          <w:ilvl w:val="2"/>
          <w:numId w:val="2"/>
        </w:numPr>
        <w:spacing w:before="120"/>
      </w:pPr>
      <w:r>
        <w:rPr>
          <w:color w:val="FF0000"/>
        </w:rPr>
        <w:t>Thus, the status and the protection provided to science by the heads of the empire carried the seeds of stagnation</w:t>
      </w:r>
    </w:p>
    <w:p w14:paraId="2B2C23CB" w14:textId="0B5117C3" w:rsidR="00641AC5" w:rsidRPr="00641AC5" w:rsidRDefault="00641AC5" w:rsidP="00641AC5">
      <w:pPr>
        <w:pStyle w:val="ListParagraph"/>
        <w:numPr>
          <w:ilvl w:val="1"/>
          <w:numId w:val="2"/>
        </w:numPr>
        <w:spacing w:before="120"/>
      </w:pPr>
      <w:r>
        <w:rPr>
          <w:color w:val="FF0000"/>
        </w:rPr>
        <w:t xml:space="preserve">Although scientific teaching progressed, there were no vigorous discussions of scientific matters, and Byzantine contributions to science remained marginal. </w:t>
      </w:r>
    </w:p>
    <w:p w14:paraId="410939E7" w14:textId="0785DD67" w:rsidR="00641AC5" w:rsidRDefault="00641AC5" w:rsidP="00641AC5">
      <w:pPr>
        <w:spacing w:before="120"/>
      </w:pPr>
    </w:p>
    <w:p w14:paraId="356A4FC2" w14:textId="248C9272" w:rsidR="00641AC5" w:rsidRPr="00641AC5" w:rsidRDefault="00641AC5" w:rsidP="00641AC5">
      <w:pPr>
        <w:spacing w:before="120"/>
        <w:rPr>
          <w:color w:val="FF0000"/>
        </w:rPr>
      </w:pPr>
      <w:r>
        <w:rPr>
          <w:color w:val="FF0000"/>
        </w:rPr>
        <w:t xml:space="preserve">The author chose to organize the article this way because it is the best way for the reader to understand the article. The document has a nice flow to it and that is due to the subheadings being properly placed. </w:t>
      </w:r>
    </w:p>
    <w:p w14:paraId="162EE0CF" w14:textId="77777777" w:rsidR="00A92F00" w:rsidRDefault="0061620E" w:rsidP="0061620E">
      <w:pPr>
        <w:keepLines/>
        <w:numPr>
          <w:ilvl w:val="0"/>
          <w:numId w:val="1"/>
        </w:numPr>
        <w:spacing w:before="240"/>
      </w:pPr>
      <w:r>
        <w:t xml:space="preserve">Give an </w:t>
      </w:r>
      <w:r>
        <w:rPr>
          <w:b/>
        </w:rPr>
        <w:t xml:space="preserve">evaluation of the </w:t>
      </w:r>
      <w:r w:rsidR="00A47575">
        <w:rPr>
          <w:b/>
        </w:rPr>
        <w:t>article</w:t>
      </w:r>
      <w:r>
        <w:t>.</w:t>
      </w:r>
      <w:r>
        <w:br/>
        <w:t>At the arrow below, answer the following questions in as much detail as you need:</w:t>
      </w:r>
    </w:p>
    <w:p w14:paraId="1F73300E" w14:textId="77777777" w:rsidR="00A92F00" w:rsidRDefault="0061620E" w:rsidP="00A92F00">
      <w:pPr>
        <w:keepLines/>
        <w:numPr>
          <w:ilvl w:val="1"/>
          <w:numId w:val="1"/>
        </w:numPr>
        <w:spacing w:before="120"/>
      </w:pPr>
      <w:r>
        <w:t>How effective has the author been in making his or her point (as determined in 2) above)?</w:t>
      </w:r>
    </w:p>
    <w:p w14:paraId="21074E2C" w14:textId="77777777" w:rsidR="00A92F00" w:rsidRDefault="0061620E" w:rsidP="00A92F00">
      <w:pPr>
        <w:keepLines/>
        <w:numPr>
          <w:ilvl w:val="1"/>
          <w:numId w:val="1"/>
        </w:numPr>
        <w:spacing w:before="120"/>
      </w:pPr>
      <w:r>
        <w:t xml:space="preserve">Does the </w:t>
      </w:r>
      <w:r w:rsidR="00A47575">
        <w:t>article</w:t>
      </w:r>
      <w:r>
        <w:t xml:space="preserve"> make the point the author intended, and why or why not?</w:t>
      </w:r>
    </w:p>
    <w:p w14:paraId="304EB398" w14:textId="77777777" w:rsidR="00A92F00" w:rsidRDefault="0061620E" w:rsidP="00A92F00">
      <w:pPr>
        <w:keepLines/>
        <w:numPr>
          <w:ilvl w:val="1"/>
          <w:numId w:val="1"/>
        </w:numPr>
        <w:spacing w:before="120"/>
      </w:pPr>
      <w:r>
        <w:t xml:space="preserve">Was the </w:t>
      </w:r>
      <w:r w:rsidR="00A47575">
        <w:t>article</w:t>
      </w:r>
      <w:r>
        <w:t xml:space="preserve"> logically organized and clearly presented? If so, what was effective about it, and if not, what problems were there? </w:t>
      </w:r>
      <w:r w:rsidR="00A92F00">
        <w:t xml:space="preserve">If you found the article confusing, explain why, giving </w:t>
      </w:r>
      <w:r>
        <w:t>specific examples with page numbers in your explanation.</w:t>
      </w:r>
    </w:p>
    <w:p w14:paraId="564C9E3E" w14:textId="77777777" w:rsidR="00A92F00" w:rsidRDefault="0061620E" w:rsidP="00A92F00">
      <w:pPr>
        <w:keepLines/>
        <w:numPr>
          <w:ilvl w:val="1"/>
          <w:numId w:val="1"/>
        </w:numPr>
        <w:spacing w:before="120"/>
      </w:pPr>
      <w:r>
        <w:t xml:space="preserve">State what you learned from the </w:t>
      </w:r>
      <w:r w:rsidR="00A47575">
        <w:t>article</w:t>
      </w:r>
      <w:r>
        <w:t>. What do you know now that you didn’t before? This may include information that was not part of the author’s point.</w:t>
      </w:r>
    </w:p>
    <w:p w14:paraId="545F8A10" w14:textId="77777777" w:rsidR="003D2F33" w:rsidRDefault="00A47575" w:rsidP="00A92F00">
      <w:pPr>
        <w:keepLines/>
        <w:numPr>
          <w:ilvl w:val="1"/>
          <w:numId w:val="1"/>
        </w:numPr>
        <w:spacing w:before="120"/>
      </w:pPr>
      <w:r>
        <w:t>Finally, what questions does the article leave in your mind? What more do you think you need to know to have a fuller understanding of the subject of the article?</w:t>
      </w:r>
    </w:p>
    <w:p w14:paraId="704063F9" w14:textId="4D0C962A" w:rsidR="0061620E" w:rsidRPr="00641AC5" w:rsidRDefault="00641AC5" w:rsidP="00641AC5">
      <w:pPr>
        <w:pStyle w:val="ListParagraph"/>
        <w:keepLines/>
        <w:numPr>
          <w:ilvl w:val="0"/>
          <w:numId w:val="2"/>
        </w:numPr>
        <w:spacing w:before="240"/>
      </w:pPr>
      <w:r>
        <w:rPr>
          <w:color w:val="FF0000"/>
        </w:rPr>
        <w:t xml:space="preserve">A. The authors were very effective in making their point. The point was standard entry and the information is presented that way, and the reader gains a deeper understanding of Byzantine empire and religion. </w:t>
      </w:r>
    </w:p>
    <w:p w14:paraId="76E9A8DD" w14:textId="7F69D02A" w:rsidR="00641AC5" w:rsidRPr="00641AC5" w:rsidRDefault="00641AC5" w:rsidP="00641AC5">
      <w:pPr>
        <w:pStyle w:val="ListParagraph"/>
        <w:keepLines/>
        <w:numPr>
          <w:ilvl w:val="0"/>
          <w:numId w:val="2"/>
        </w:numPr>
        <w:spacing w:before="240"/>
      </w:pPr>
      <w:r>
        <w:rPr>
          <w:color w:val="FF0000"/>
        </w:rPr>
        <w:t>B. The article does make the point the author intended. The reader truly understands the development of science and religion in Byzantine.</w:t>
      </w:r>
    </w:p>
    <w:p w14:paraId="1963E4D4" w14:textId="279C4E43" w:rsidR="00641AC5" w:rsidRPr="00641AC5" w:rsidRDefault="00641AC5" w:rsidP="00641AC5">
      <w:pPr>
        <w:pStyle w:val="ListParagraph"/>
        <w:keepLines/>
        <w:numPr>
          <w:ilvl w:val="0"/>
          <w:numId w:val="2"/>
        </w:numPr>
        <w:spacing w:before="240"/>
      </w:pPr>
      <w:r>
        <w:rPr>
          <w:color w:val="FF0000"/>
        </w:rPr>
        <w:t xml:space="preserve">C. The article was logically organized and clearly presented. It was effective because the proper subheadings make the article organized, clearly presented, and easy to understand. The reader knows the main topics that are going to be covered in the document beforehand. </w:t>
      </w:r>
    </w:p>
    <w:p w14:paraId="4AA9FE79" w14:textId="32733A1B" w:rsidR="00641AC5" w:rsidRPr="00641AC5" w:rsidRDefault="00641AC5" w:rsidP="00641AC5">
      <w:pPr>
        <w:pStyle w:val="ListParagraph"/>
        <w:keepLines/>
        <w:numPr>
          <w:ilvl w:val="0"/>
          <w:numId w:val="2"/>
        </w:numPr>
        <w:spacing w:before="240"/>
      </w:pPr>
      <w:r>
        <w:rPr>
          <w:color w:val="FF0000"/>
        </w:rPr>
        <w:t>D. One thing I learned from the article was just how influential the early philosophers and scientists were. I didn’t realize that they had so many important inventions.</w:t>
      </w:r>
    </w:p>
    <w:p w14:paraId="0988E884" w14:textId="573ACEC9" w:rsidR="00641AC5" w:rsidRDefault="00641AC5" w:rsidP="00641AC5">
      <w:pPr>
        <w:pStyle w:val="ListParagraph"/>
        <w:keepLines/>
        <w:numPr>
          <w:ilvl w:val="0"/>
          <w:numId w:val="2"/>
        </w:numPr>
        <w:spacing w:before="240"/>
      </w:pPr>
      <w:r>
        <w:rPr>
          <w:color w:val="FF0000"/>
        </w:rPr>
        <w:t xml:space="preserve">E. One question that I have is how did the general public treat the famous mathematicians or philosophers? Were they revered just as much as kings and queens? If I knew this I would have a much fuller understanding of the subject of the article. </w:t>
      </w:r>
    </w:p>
    <w:sectPr w:rsidR="00641AC5" w:rsidSect="0070640F">
      <w:headerReference w:type="default" r:id="rId7"/>
      <w:footerReference w:type="default" r:id="rId8"/>
      <w:headerReference w:type="first" r:id="rId9"/>
      <w:footerReference w:type="first" r:id="rId10"/>
      <w:pgSz w:w="12240" w:h="15840" w:code="1"/>
      <w:pgMar w:top="1440" w:right="1440" w:bottom="1440"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2BF3CC" w14:textId="77777777" w:rsidR="00DE7E2F" w:rsidRDefault="00DE7E2F">
      <w:r>
        <w:separator/>
      </w:r>
    </w:p>
  </w:endnote>
  <w:endnote w:type="continuationSeparator" w:id="0">
    <w:p w14:paraId="2058BB4E" w14:textId="77777777" w:rsidR="00DE7E2F" w:rsidRDefault="00DE7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28DD85" w14:textId="77777777" w:rsidR="00195ED0" w:rsidRDefault="00195ED0" w:rsidP="00A47575">
    <w:pPr>
      <w:pStyle w:val="Footer"/>
      <w:jc w:val="center"/>
    </w:pPr>
    <w:r>
      <w:rPr>
        <w:rStyle w:val="PageNumber"/>
      </w:rPr>
      <w:fldChar w:fldCharType="begin"/>
    </w:r>
    <w:r>
      <w:rPr>
        <w:rStyle w:val="PageNumber"/>
      </w:rPr>
      <w:instrText xml:space="preserve"> PAGE </w:instrText>
    </w:r>
    <w:r>
      <w:rPr>
        <w:rStyle w:val="PageNumber"/>
      </w:rPr>
      <w:fldChar w:fldCharType="separate"/>
    </w:r>
    <w:r w:rsidR="002F72A4">
      <w:rPr>
        <w:rStyle w:val="PageNumber"/>
        <w:noProof/>
      </w:rPr>
      <w:t>4</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2F72A4">
      <w:rPr>
        <w:rStyle w:val="PageNumber"/>
        <w:noProof/>
      </w:rPr>
      <w:t>7</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220BC2" w14:textId="77777777" w:rsidR="00195ED0" w:rsidRPr="00EC50CE" w:rsidRDefault="00195ED0">
    <w:pPr>
      <w:pStyle w:val="Footer"/>
      <w:rPr>
        <w:sz w:val="20"/>
        <w:szCs w:val="20"/>
      </w:rPr>
    </w:pPr>
    <w:r w:rsidRPr="00EC50CE">
      <w:rPr>
        <w:sz w:val="20"/>
        <w:szCs w:val="20"/>
      </w:rPr>
      <w:t>William Londo</w:t>
    </w:r>
    <w:r>
      <w:rPr>
        <w:sz w:val="20"/>
        <w:szCs w:val="20"/>
      </w:rPr>
      <w:t xml:space="preserve"> </w:t>
    </w:r>
    <w:r w:rsidRPr="00EC50CE">
      <w:rPr>
        <w:sz w:val="20"/>
        <w:szCs w:val="20"/>
      </w:rPr>
      <w:t>©2012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5DEEF6" w14:textId="77777777" w:rsidR="00DE7E2F" w:rsidRDefault="00DE7E2F">
      <w:r>
        <w:separator/>
      </w:r>
    </w:p>
  </w:footnote>
  <w:footnote w:type="continuationSeparator" w:id="0">
    <w:p w14:paraId="1BC7274F" w14:textId="77777777" w:rsidR="00DE7E2F" w:rsidRDefault="00DE7E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1E9DF1" w14:textId="77777777" w:rsidR="00195ED0" w:rsidRPr="00EC50CE" w:rsidRDefault="00195ED0" w:rsidP="00EC50CE">
    <w:pPr>
      <w:pStyle w:val="Header"/>
      <w:jc w:val="right"/>
      <w:rPr>
        <w:szCs w:val="32"/>
      </w:rPr>
    </w:pPr>
    <w:r>
      <w:rPr>
        <w:szCs w:val="32"/>
      </w:rPr>
      <w:t>Reading an Article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3D84F7" w14:textId="0F117644" w:rsidR="00954968" w:rsidRPr="0031149D" w:rsidRDefault="00954968">
    <w:pPr>
      <w:pStyle w:val="Header"/>
      <w:rPr>
        <w:color w:val="FF0000"/>
      </w:rPr>
    </w:pPr>
    <w:r>
      <w:t xml:space="preserve">Article Title: </w:t>
    </w:r>
    <w:r w:rsidR="0031149D">
      <w:rPr>
        <w:color w:val="FF0000"/>
      </w:rPr>
      <w:t xml:space="preserve">The Return of Greek Science: The First Byzantine Humanism </w:t>
    </w:r>
  </w:p>
  <w:p w14:paraId="2022BBD8" w14:textId="77777777" w:rsidR="00954968" w:rsidRDefault="00954968">
    <w:pPr>
      <w:pStyle w:val="Header"/>
    </w:pPr>
  </w:p>
  <w:p w14:paraId="6F8D0536" w14:textId="627DDDA4" w:rsidR="00954968" w:rsidRPr="0031149D" w:rsidRDefault="00954968">
    <w:pPr>
      <w:pStyle w:val="Header"/>
      <w:rPr>
        <w:color w:val="FF0000"/>
      </w:rPr>
    </w:pPr>
    <w:r>
      <w:t>Author’s Name:</w:t>
    </w:r>
    <w:r w:rsidR="0031149D">
      <w:t xml:space="preserve"> </w:t>
    </w:r>
    <w:r w:rsidR="0031149D">
      <w:rPr>
        <w:color w:val="FF0000"/>
      </w:rPr>
      <w:t>Efthymios Nicolaidis and Susan Emanuel</w:t>
    </w:r>
    <w:r w:rsidR="002F72A4">
      <w:rPr>
        <w:color w:val="FF0000"/>
      </w:rPr>
      <w:t xml:space="preserve">                   </w:t>
    </w:r>
    <w:r>
      <w:t xml:space="preserve">Name: </w:t>
    </w:r>
  </w:p>
  <w:p w14:paraId="100DEE38" w14:textId="77777777" w:rsidR="00954968" w:rsidRPr="00954968" w:rsidRDefault="00954968" w:rsidP="009549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3E4F29"/>
    <w:multiLevelType w:val="hybridMultilevel"/>
    <w:tmpl w:val="15D87670"/>
    <w:lvl w:ilvl="0" w:tplc="04090011">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515E5866"/>
    <w:multiLevelType w:val="hybridMultilevel"/>
    <w:tmpl w:val="AACE1ED6"/>
    <w:lvl w:ilvl="0" w:tplc="F0102ECC">
      <w:numFmt w:val="bullet"/>
      <w:lvlText w:val=""/>
      <w:lvlJc w:val="left"/>
      <w:pPr>
        <w:ind w:left="720" w:hanging="360"/>
      </w:pPr>
      <w:rPr>
        <w:rFonts w:ascii="Wingdings" w:eastAsia="MS Mincho" w:hAnsi="Wingding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989"/>
    <w:rsid w:val="00051989"/>
    <w:rsid w:val="00065C2C"/>
    <w:rsid w:val="0007492D"/>
    <w:rsid w:val="00085EE1"/>
    <w:rsid w:val="000F01B8"/>
    <w:rsid w:val="00130DD4"/>
    <w:rsid w:val="00132AA9"/>
    <w:rsid w:val="001416F6"/>
    <w:rsid w:val="0015056E"/>
    <w:rsid w:val="0016192F"/>
    <w:rsid w:val="0017458E"/>
    <w:rsid w:val="001775C6"/>
    <w:rsid w:val="00182636"/>
    <w:rsid w:val="00184C4C"/>
    <w:rsid w:val="00185C4D"/>
    <w:rsid w:val="001870C5"/>
    <w:rsid w:val="00195ED0"/>
    <w:rsid w:val="001A7AC2"/>
    <w:rsid w:val="001B59E5"/>
    <w:rsid w:val="001E4409"/>
    <w:rsid w:val="001F4031"/>
    <w:rsid w:val="001F56DD"/>
    <w:rsid w:val="002101B9"/>
    <w:rsid w:val="00210BEA"/>
    <w:rsid w:val="002140E9"/>
    <w:rsid w:val="0021556A"/>
    <w:rsid w:val="002206BA"/>
    <w:rsid w:val="00234BA5"/>
    <w:rsid w:val="002432C8"/>
    <w:rsid w:val="00280179"/>
    <w:rsid w:val="00283EB9"/>
    <w:rsid w:val="002937ED"/>
    <w:rsid w:val="00295AFC"/>
    <w:rsid w:val="002C5395"/>
    <w:rsid w:val="002C58AE"/>
    <w:rsid w:val="002D1EF1"/>
    <w:rsid w:val="002D4558"/>
    <w:rsid w:val="002F72A4"/>
    <w:rsid w:val="0031149D"/>
    <w:rsid w:val="003339FA"/>
    <w:rsid w:val="00350C32"/>
    <w:rsid w:val="00353418"/>
    <w:rsid w:val="00372D29"/>
    <w:rsid w:val="00377C51"/>
    <w:rsid w:val="00387499"/>
    <w:rsid w:val="003A0B92"/>
    <w:rsid w:val="003A5192"/>
    <w:rsid w:val="003B513D"/>
    <w:rsid w:val="003B6959"/>
    <w:rsid w:val="003C09FC"/>
    <w:rsid w:val="003C0B62"/>
    <w:rsid w:val="003D2F33"/>
    <w:rsid w:val="003D420D"/>
    <w:rsid w:val="003E39E6"/>
    <w:rsid w:val="00400C66"/>
    <w:rsid w:val="00415D08"/>
    <w:rsid w:val="00422DEC"/>
    <w:rsid w:val="00430949"/>
    <w:rsid w:val="00464841"/>
    <w:rsid w:val="00465386"/>
    <w:rsid w:val="00466F76"/>
    <w:rsid w:val="0047257E"/>
    <w:rsid w:val="00490C79"/>
    <w:rsid w:val="004B30C5"/>
    <w:rsid w:val="004C1C75"/>
    <w:rsid w:val="004C45A0"/>
    <w:rsid w:val="004E7ECC"/>
    <w:rsid w:val="004F3CFF"/>
    <w:rsid w:val="00506D85"/>
    <w:rsid w:val="00513256"/>
    <w:rsid w:val="005149E6"/>
    <w:rsid w:val="005170CE"/>
    <w:rsid w:val="00542AC7"/>
    <w:rsid w:val="00552D3E"/>
    <w:rsid w:val="00555E9D"/>
    <w:rsid w:val="00571C5B"/>
    <w:rsid w:val="00577D1E"/>
    <w:rsid w:val="005805BF"/>
    <w:rsid w:val="005818F8"/>
    <w:rsid w:val="00591349"/>
    <w:rsid w:val="00592338"/>
    <w:rsid w:val="005A63C5"/>
    <w:rsid w:val="005B405B"/>
    <w:rsid w:val="005C1878"/>
    <w:rsid w:val="005C4AE8"/>
    <w:rsid w:val="005C53E1"/>
    <w:rsid w:val="005E1584"/>
    <w:rsid w:val="005E72E1"/>
    <w:rsid w:val="00605A75"/>
    <w:rsid w:val="00611671"/>
    <w:rsid w:val="0061620E"/>
    <w:rsid w:val="00620AD0"/>
    <w:rsid w:val="00641AC5"/>
    <w:rsid w:val="0064273E"/>
    <w:rsid w:val="00667471"/>
    <w:rsid w:val="0067036E"/>
    <w:rsid w:val="00676F03"/>
    <w:rsid w:val="00682C20"/>
    <w:rsid w:val="00697E76"/>
    <w:rsid w:val="006B5801"/>
    <w:rsid w:val="006E0BA3"/>
    <w:rsid w:val="006E232C"/>
    <w:rsid w:val="006E3280"/>
    <w:rsid w:val="006E5626"/>
    <w:rsid w:val="006E6300"/>
    <w:rsid w:val="0070640F"/>
    <w:rsid w:val="007157BC"/>
    <w:rsid w:val="00726814"/>
    <w:rsid w:val="0073243F"/>
    <w:rsid w:val="00737C7E"/>
    <w:rsid w:val="00753C7D"/>
    <w:rsid w:val="00755AC8"/>
    <w:rsid w:val="007747F2"/>
    <w:rsid w:val="007767CB"/>
    <w:rsid w:val="00792DC0"/>
    <w:rsid w:val="007C72AA"/>
    <w:rsid w:val="007D0389"/>
    <w:rsid w:val="007E13F1"/>
    <w:rsid w:val="007E6E7E"/>
    <w:rsid w:val="007F2570"/>
    <w:rsid w:val="008176F7"/>
    <w:rsid w:val="0082701F"/>
    <w:rsid w:val="00836737"/>
    <w:rsid w:val="00843653"/>
    <w:rsid w:val="008529E3"/>
    <w:rsid w:val="00866E57"/>
    <w:rsid w:val="00875BC2"/>
    <w:rsid w:val="00891769"/>
    <w:rsid w:val="008A0369"/>
    <w:rsid w:val="008A515F"/>
    <w:rsid w:val="008A68FB"/>
    <w:rsid w:val="008C294D"/>
    <w:rsid w:val="008C7E76"/>
    <w:rsid w:val="008E3AE8"/>
    <w:rsid w:val="00920DBD"/>
    <w:rsid w:val="009438FF"/>
    <w:rsid w:val="00947818"/>
    <w:rsid w:val="009505FE"/>
    <w:rsid w:val="00951B84"/>
    <w:rsid w:val="00954968"/>
    <w:rsid w:val="00971697"/>
    <w:rsid w:val="009903F3"/>
    <w:rsid w:val="0099226F"/>
    <w:rsid w:val="00992389"/>
    <w:rsid w:val="009A393E"/>
    <w:rsid w:val="009A4DB0"/>
    <w:rsid w:val="009C5120"/>
    <w:rsid w:val="009C7167"/>
    <w:rsid w:val="009D2C03"/>
    <w:rsid w:val="009E4B44"/>
    <w:rsid w:val="00A2039E"/>
    <w:rsid w:val="00A35B05"/>
    <w:rsid w:val="00A47575"/>
    <w:rsid w:val="00A54265"/>
    <w:rsid w:val="00A644E6"/>
    <w:rsid w:val="00A7426F"/>
    <w:rsid w:val="00A86032"/>
    <w:rsid w:val="00A9083F"/>
    <w:rsid w:val="00A92F00"/>
    <w:rsid w:val="00AA2D5F"/>
    <w:rsid w:val="00AD53B7"/>
    <w:rsid w:val="00AE23C3"/>
    <w:rsid w:val="00AF30E4"/>
    <w:rsid w:val="00AF4219"/>
    <w:rsid w:val="00B04AFC"/>
    <w:rsid w:val="00B17CDA"/>
    <w:rsid w:val="00B226B8"/>
    <w:rsid w:val="00B70B7F"/>
    <w:rsid w:val="00B915B2"/>
    <w:rsid w:val="00B92563"/>
    <w:rsid w:val="00BA57B8"/>
    <w:rsid w:val="00BB3506"/>
    <w:rsid w:val="00BB6718"/>
    <w:rsid w:val="00BB6B91"/>
    <w:rsid w:val="00C137DB"/>
    <w:rsid w:val="00C13B77"/>
    <w:rsid w:val="00C16A17"/>
    <w:rsid w:val="00C45FC1"/>
    <w:rsid w:val="00C4777D"/>
    <w:rsid w:val="00C87136"/>
    <w:rsid w:val="00CA5815"/>
    <w:rsid w:val="00CB21DC"/>
    <w:rsid w:val="00CB22E3"/>
    <w:rsid w:val="00CB4E4A"/>
    <w:rsid w:val="00CB5F96"/>
    <w:rsid w:val="00D303F4"/>
    <w:rsid w:val="00D465EE"/>
    <w:rsid w:val="00D624DD"/>
    <w:rsid w:val="00D657E4"/>
    <w:rsid w:val="00D91E76"/>
    <w:rsid w:val="00D931B5"/>
    <w:rsid w:val="00D95BF4"/>
    <w:rsid w:val="00D97C2F"/>
    <w:rsid w:val="00DB12D0"/>
    <w:rsid w:val="00DB18A5"/>
    <w:rsid w:val="00DB4C60"/>
    <w:rsid w:val="00DC4067"/>
    <w:rsid w:val="00DD5830"/>
    <w:rsid w:val="00DE5CB8"/>
    <w:rsid w:val="00DE6DA1"/>
    <w:rsid w:val="00DE7E2F"/>
    <w:rsid w:val="00E0115E"/>
    <w:rsid w:val="00E045BA"/>
    <w:rsid w:val="00E066D1"/>
    <w:rsid w:val="00E109BC"/>
    <w:rsid w:val="00E13637"/>
    <w:rsid w:val="00E16E68"/>
    <w:rsid w:val="00E374E9"/>
    <w:rsid w:val="00E670D4"/>
    <w:rsid w:val="00E73951"/>
    <w:rsid w:val="00E92B16"/>
    <w:rsid w:val="00EA0C68"/>
    <w:rsid w:val="00EB3C31"/>
    <w:rsid w:val="00EB5498"/>
    <w:rsid w:val="00EC50CE"/>
    <w:rsid w:val="00ED2425"/>
    <w:rsid w:val="00ED5B28"/>
    <w:rsid w:val="00EE0698"/>
    <w:rsid w:val="00EF6BEB"/>
    <w:rsid w:val="00F00E34"/>
    <w:rsid w:val="00F12B61"/>
    <w:rsid w:val="00F12CE6"/>
    <w:rsid w:val="00F141B9"/>
    <w:rsid w:val="00F26AAB"/>
    <w:rsid w:val="00F455F7"/>
    <w:rsid w:val="00F55920"/>
    <w:rsid w:val="00F61401"/>
    <w:rsid w:val="00FB4B90"/>
    <w:rsid w:val="00FB5243"/>
    <w:rsid w:val="00FE15CB"/>
    <w:rsid w:val="00FF57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CE83109"/>
  <w15:chartTrackingRefBased/>
  <w15:docId w15:val="{F955E4D5-8A82-4974-899B-0AC6DA6CB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80179"/>
    <w:pPr>
      <w:tabs>
        <w:tab w:val="center" w:pos="4320"/>
        <w:tab w:val="right" w:pos="8640"/>
      </w:tabs>
    </w:pPr>
  </w:style>
  <w:style w:type="paragraph" w:styleId="Footer">
    <w:name w:val="footer"/>
    <w:basedOn w:val="Normal"/>
    <w:rsid w:val="00280179"/>
    <w:pPr>
      <w:tabs>
        <w:tab w:val="center" w:pos="4320"/>
        <w:tab w:val="right" w:pos="8640"/>
      </w:tabs>
    </w:pPr>
  </w:style>
  <w:style w:type="character" w:styleId="PageNumber">
    <w:name w:val="page number"/>
    <w:basedOn w:val="DefaultParagraphFont"/>
    <w:rsid w:val="00A47575"/>
    <w:rPr>
      <w:rFonts w:cs="Times New Roman"/>
    </w:rPr>
  </w:style>
  <w:style w:type="character" w:customStyle="1" w:styleId="HeaderChar">
    <w:name w:val="Header Char"/>
    <w:basedOn w:val="DefaultParagraphFont"/>
    <w:link w:val="Header"/>
    <w:uiPriority w:val="99"/>
    <w:rsid w:val="00954968"/>
    <w:rPr>
      <w:sz w:val="24"/>
      <w:szCs w:val="24"/>
      <w:lang w:eastAsia="ja-JP"/>
    </w:rPr>
  </w:style>
  <w:style w:type="paragraph" w:styleId="ListParagraph">
    <w:name w:val="List Paragraph"/>
    <w:basedOn w:val="Normal"/>
    <w:uiPriority w:val="34"/>
    <w:qFormat/>
    <w:rsid w:val="003114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oodringk\Downloads\Read_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Read_Article</Template>
  <TotalTime>0</TotalTime>
  <Pages>7</Pages>
  <Words>3345</Words>
  <Characters>16854</Characters>
  <Application>Microsoft Office Word</Application>
  <DocSecurity>0</DocSecurity>
  <Lines>140</Lines>
  <Paragraphs>40</Paragraphs>
  <ScaleCrop>false</ScaleCrop>
  <HeadingPairs>
    <vt:vector size="2" baseType="variant">
      <vt:variant>
        <vt:lpstr>Title</vt:lpstr>
      </vt:variant>
      <vt:variant>
        <vt:i4>1</vt:i4>
      </vt:variant>
    </vt:vector>
  </HeadingPairs>
  <TitlesOfParts>
    <vt:vector size="1" baseType="lpstr">
      <vt:lpstr>This worksheet is intended to serve as a guide for reading a scholarly article</vt:lpstr>
    </vt:vector>
  </TitlesOfParts>
  <Company>Asian Studies Center</Company>
  <LinksUpToDate>false</LinksUpToDate>
  <CharactersWithSpaces>20159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worksheet is intended to serve as a guide for reading a scholarly article</dc:title>
  <dc:subject/>
  <dc:creator>Woodring, Kimberly G.</dc:creator>
  <cp:keywords/>
  <dc:description/>
  <cp:lastModifiedBy>Woodring, Kimberly G.</cp:lastModifiedBy>
  <cp:revision>2</cp:revision>
  <cp:lastPrinted>2016-07-25T17:40:00Z</cp:lastPrinted>
  <dcterms:created xsi:type="dcterms:W3CDTF">2019-05-02T16:25:00Z</dcterms:created>
  <dcterms:modified xsi:type="dcterms:W3CDTF">2019-05-02T16:25:00Z</dcterms:modified>
</cp:coreProperties>
</file>